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A7" w:rsidRDefault="001F7C6B">
      <w:pPr>
        <w:spacing w:after="0" w:line="240" w:lineRule="auto"/>
        <w:jc w:val="both"/>
        <w:rPr>
          <w:rFonts w:ascii="Umprum" w:eastAsia="Umprum" w:hAnsi="Umprum" w:cs="Umprum"/>
        </w:rPr>
      </w:pPr>
      <w:r>
        <w:rPr>
          <w:noProof/>
        </w:rPr>
        <w:drawing>
          <wp:inline distT="0" distB="0" distL="0" distR="0">
            <wp:extent cx="4361815" cy="635635"/>
            <wp:effectExtent l="0" t="0" r="0" b="0"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2A7" w:rsidRDefault="00E962A7">
      <w:pPr>
        <w:spacing w:after="0" w:line="240" w:lineRule="auto"/>
        <w:jc w:val="both"/>
        <w:rPr>
          <w:rFonts w:ascii="Umprum" w:eastAsia="Umprum" w:hAnsi="Umprum" w:cs="Umprum"/>
        </w:rPr>
      </w:pPr>
    </w:p>
    <w:p w:rsidR="00E962A7" w:rsidRDefault="00E962A7">
      <w:pPr>
        <w:spacing w:after="120"/>
        <w:jc w:val="both"/>
        <w:rPr>
          <w:rFonts w:ascii="Umprum" w:eastAsia="Umprum" w:hAnsi="Umprum" w:cs="Umprum"/>
          <w:b/>
        </w:rPr>
      </w:pPr>
    </w:p>
    <w:p w:rsidR="00E962A7" w:rsidRDefault="001F7C6B">
      <w:pPr>
        <w:spacing w:after="120"/>
        <w:jc w:val="both"/>
        <w:rPr>
          <w:rFonts w:ascii="Umprum" w:eastAsia="Umprum" w:hAnsi="Umprum" w:cs="Umprum"/>
        </w:rPr>
      </w:pPr>
      <w:r>
        <w:rPr>
          <w:rFonts w:ascii="Umprum" w:eastAsia="Umprum" w:hAnsi="Umprum" w:cs="Umprum"/>
        </w:rPr>
        <w:t>TISKOVÁ ZPRÁVA</w:t>
      </w:r>
    </w:p>
    <w:p w:rsidR="00E962A7" w:rsidRDefault="00E962A7">
      <w:pPr>
        <w:spacing w:after="120"/>
        <w:jc w:val="both"/>
        <w:rPr>
          <w:rFonts w:ascii="Umprum" w:eastAsia="Umprum" w:hAnsi="Umprum" w:cs="Umprum"/>
        </w:rPr>
      </w:pPr>
    </w:p>
    <w:p w:rsidR="00E962A7" w:rsidRDefault="00E962A7">
      <w:pPr>
        <w:spacing w:after="0" w:line="240" w:lineRule="auto"/>
        <w:rPr>
          <w:rFonts w:ascii="Umprum" w:eastAsia="Umprum" w:hAnsi="Umprum" w:cs="Umprum"/>
          <w:b/>
          <w:color w:val="000000"/>
          <w:sz w:val="48"/>
          <w:szCs w:val="48"/>
        </w:rPr>
      </w:pPr>
    </w:p>
    <w:p w:rsidR="00E962A7" w:rsidRDefault="001F7C6B">
      <w:pPr>
        <w:rPr>
          <w:rFonts w:ascii="Umprum" w:hAnsi="Umprum" w:cstheme="minorHAnsi"/>
        </w:rPr>
      </w:pPr>
      <w:r>
        <w:rPr>
          <w:rFonts w:ascii="Umprum" w:hAnsi="Umprum" w:cstheme="minorHAnsi"/>
          <w:b/>
          <w:sz w:val="48"/>
          <w:szCs w:val="48"/>
        </w:rPr>
        <w:t>Milan Pekař –</w:t>
      </w:r>
      <w:bookmarkStart w:id="0" w:name="_GoBack"/>
      <w:r w:rsidRPr="001F7C6B">
        <w:rPr>
          <w:rFonts w:ascii="Umprum" w:hAnsi="Umprum" w:cstheme="minorHAnsi"/>
          <w:b/>
          <w:sz w:val="48"/>
          <w:szCs w:val="48"/>
        </w:rPr>
        <w:t xml:space="preserve"> </w:t>
      </w:r>
      <w:r w:rsidRPr="001F7C6B">
        <w:rPr>
          <w:rFonts w:ascii="Umprum" w:hAnsi="Umprum" w:cstheme="minorHAnsi"/>
          <w:b/>
          <w:sz w:val="48"/>
          <w:szCs w:val="48"/>
        </w:rPr>
        <w:t>Popovrchu</w:t>
      </w:r>
      <w:bookmarkEnd w:id="0"/>
      <w:r>
        <w:rPr>
          <w:rFonts w:ascii="Umprum" w:hAnsi="Umprum" w:cstheme="minorHAnsi"/>
        </w:rPr>
        <w:br/>
      </w:r>
      <w:r>
        <w:rPr>
          <w:rFonts w:ascii="Umprum" w:hAnsi="Umprum" w:cstheme="minorHAnsi"/>
          <w:b/>
          <w:color w:val="000000"/>
          <w:sz w:val="24"/>
          <w:szCs w:val="24"/>
        </w:rPr>
        <w:t>Glazura jako katalyzátor emocí a vztahů. V otevřeném prostoru mezi vědou a uměním. Od intuice přes chaos k informaci. Barvy – struktury – deformace. Když váza, tak keramický nábytek.</w:t>
      </w:r>
      <w:r>
        <w:rPr>
          <w:rFonts w:ascii="Umprum" w:hAnsi="Umprum" w:cstheme="minorHAnsi"/>
          <w:b/>
          <w:color w:val="000000"/>
        </w:rPr>
        <w:br/>
      </w:r>
    </w:p>
    <w:p w:rsidR="00E962A7" w:rsidRDefault="001F7C6B">
      <w:pPr>
        <w:pStyle w:val="Default"/>
        <w:rPr>
          <w:rFonts w:ascii="Umprum" w:hAnsi="Umprum"/>
          <w:b/>
          <w:sz w:val="22"/>
          <w:szCs w:val="22"/>
        </w:rPr>
      </w:pPr>
      <w:r>
        <w:rPr>
          <w:rFonts w:ascii="Umprum" w:hAnsi="Umprum" w:cstheme="minorHAnsi"/>
          <w:b/>
          <w:sz w:val="22"/>
          <w:szCs w:val="22"/>
        </w:rPr>
        <w:t>4. 9. – 10. 10. 2020</w:t>
      </w:r>
      <w:r>
        <w:rPr>
          <w:rFonts w:ascii="Umprum" w:hAnsi="Umprum" w:cstheme="minorHAnsi"/>
          <w:b/>
          <w:sz w:val="22"/>
          <w:szCs w:val="22"/>
        </w:rPr>
        <w:br/>
      </w:r>
      <w:r>
        <w:rPr>
          <w:rFonts w:ascii="Umprum" w:hAnsi="Umprum" w:cstheme="minorHAnsi"/>
          <w:b/>
          <w:sz w:val="22"/>
          <w:szCs w:val="22"/>
        </w:rPr>
        <w:br/>
      </w:r>
      <w:r>
        <w:rPr>
          <w:rFonts w:ascii="Umprum" w:hAnsi="Umprum" w:cstheme="minorHAnsi"/>
          <w:b/>
          <w:sz w:val="22"/>
          <w:szCs w:val="22"/>
        </w:rPr>
        <w:t>zahájení: středa 3. 9. 2020 od 18 hodin</w:t>
      </w:r>
    </w:p>
    <w:p w:rsidR="00E962A7" w:rsidRDefault="001F7C6B">
      <w:pPr>
        <w:rPr>
          <w:rFonts w:ascii="Umprum" w:eastAsia="Times New Roman" w:hAnsi="Umprum"/>
          <w:b/>
          <w:bCs/>
        </w:rPr>
      </w:pPr>
      <w:r>
        <w:rPr>
          <w:rFonts w:ascii="Umprum" w:eastAsia="Times New Roman" w:hAnsi="Umprum"/>
          <w:b/>
          <w:bCs/>
        </w:rPr>
        <w:br/>
        <w:t>Galerie UM, nám. Jana Palacha 80, Praha 1</w:t>
      </w:r>
    </w:p>
    <w:p w:rsidR="00E962A7" w:rsidRDefault="001F7C6B">
      <w:pPr>
        <w:rPr>
          <w:rFonts w:ascii="Umprum" w:eastAsia="Times New Roman" w:hAnsi="Umprum"/>
          <w:b/>
          <w:bCs/>
        </w:rPr>
      </w:pPr>
      <w:r>
        <w:rPr>
          <w:rFonts w:ascii="Umprum" w:eastAsia="Times New Roman" w:hAnsi="Umprum"/>
          <w:b/>
          <w:bCs/>
        </w:rPr>
        <w:t>Otevřeno pondělí–sobota 10–18 hod.</w:t>
      </w:r>
    </w:p>
    <w:p w:rsidR="00E962A7" w:rsidRDefault="001F7C6B">
      <w:pPr>
        <w:rPr>
          <w:rFonts w:ascii="Umprum" w:eastAsia="Times New Roman" w:hAnsi="Umprum"/>
          <w:b/>
          <w:bCs/>
        </w:rPr>
      </w:pPr>
      <w:r>
        <w:rPr>
          <w:rFonts w:ascii="Umprum" w:eastAsia="Times New Roman" w:hAnsi="Umprum"/>
          <w:b/>
          <w:bCs/>
        </w:rPr>
        <w:t>Vstup zdarma</w:t>
      </w:r>
    </w:p>
    <w:p w:rsidR="00E962A7" w:rsidRPr="001F7C6B" w:rsidRDefault="00E962A7">
      <w:pPr>
        <w:rPr>
          <w:rFonts w:ascii="Umprum" w:eastAsia="Times New Roman" w:hAnsi="Umprum"/>
          <w:b/>
          <w:bCs/>
          <w:sz w:val="21"/>
          <w:szCs w:val="21"/>
        </w:rPr>
      </w:pPr>
    </w:p>
    <w:p w:rsidR="00E962A7" w:rsidRPr="001F7C6B" w:rsidRDefault="001F7C6B">
      <w:pPr>
        <w:rPr>
          <w:rFonts w:ascii="Umprum" w:hAnsi="Umprum" w:cstheme="minorHAnsi"/>
          <w:b/>
        </w:rPr>
      </w:pPr>
      <w:r w:rsidRPr="001F7C6B">
        <w:rPr>
          <w:rFonts w:ascii="Umprum" w:eastAsia="Times New Roman" w:hAnsi="Umprum" w:cstheme="minorHAnsi"/>
          <w:b/>
          <w:bCs/>
          <w:sz w:val="21"/>
          <w:szCs w:val="21"/>
        </w:rPr>
        <w:t>Popovrchu, výstava Milan Pekaře</w:t>
      </w:r>
      <w:r w:rsidRPr="001F7C6B">
        <w:rPr>
          <w:rFonts w:ascii="Umprum" w:eastAsia="Times New Roman" w:hAnsi="Umprum" w:cstheme="minorHAnsi"/>
          <w:b/>
          <w:bCs/>
          <w:sz w:val="21"/>
          <w:szCs w:val="21"/>
        </w:rPr>
        <w:t>, pedagoga Ateliéru keramiky a porcelánu UMPRUM, do hloubky zkoumá keramické glazury jako nosiče informací</w:t>
      </w:r>
      <w:r w:rsidRPr="001F7C6B">
        <w:rPr>
          <w:rFonts w:ascii="Umprum" w:eastAsia="Times New Roman" w:hAnsi="Umprum" w:cstheme="minorHAnsi"/>
          <w:b/>
          <w:bCs/>
          <w:sz w:val="21"/>
          <w:szCs w:val="21"/>
        </w:rPr>
        <w:t>. Výzkumná část zde plynule přechází do výtvarné tvorby.</w:t>
      </w:r>
    </w:p>
    <w:p w:rsidR="00E962A7" w:rsidRPr="001F7C6B" w:rsidRDefault="001F7C6B">
      <w:pPr>
        <w:rPr>
          <w:rFonts w:ascii="Umprum" w:hAnsi="Umprum" w:cstheme="minorHAnsi"/>
        </w:rPr>
      </w:pPr>
      <w:r w:rsidRPr="001F7C6B">
        <w:rPr>
          <w:rFonts w:ascii="Umprum" w:hAnsi="Umprum" w:cstheme="minorHAnsi"/>
        </w:rPr>
        <w:t xml:space="preserve">Tvorba Milana Pekaře vychází ze studia a zásad používání glazur a jejich funkcí. Autor své </w:t>
      </w:r>
      <w:r w:rsidRPr="001F7C6B">
        <w:rPr>
          <w:rFonts w:ascii="Umprum" w:hAnsi="Umprum" w:cstheme="minorHAnsi"/>
        </w:rPr>
        <w:t xml:space="preserve">poznatky dále zhodnocuje, experimentuje a vytváří vlastní </w:t>
      </w:r>
      <w:r w:rsidRPr="001F7C6B">
        <w:rPr>
          <w:rFonts w:ascii="Umprum" w:hAnsi="Umprum" w:cstheme="minorHAnsi"/>
        </w:rPr>
        <w:t>glazury</w:t>
      </w:r>
      <w:r w:rsidRPr="001F7C6B">
        <w:rPr>
          <w:rFonts w:ascii="Umprum" w:hAnsi="Umprum" w:cstheme="minorHAnsi"/>
        </w:rPr>
        <w:t>, které aplikuje na různé povrchy – vázy čistých tvarů, nebo naopak na keramické objekty modelované ze za měkka extrudovaných profilů. Využívá zákonitosti vztahu mezi tvarem, barvou a struktu</w:t>
      </w:r>
      <w:r w:rsidRPr="001F7C6B">
        <w:rPr>
          <w:rFonts w:ascii="Umprum" w:hAnsi="Umprum" w:cstheme="minorHAnsi"/>
        </w:rPr>
        <w:t>rou povrchu. „</w:t>
      </w:r>
      <w:r w:rsidRPr="001F7C6B">
        <w:rPr>
          <w:rFonts w:ascii="Umprum" w:hAnsi="Umprum" w:cstheme="minorHAnsi"/>
          <w:i/>
        </w:rPr>
        <w:t>Zkoumání tohoto vztahu pro mě momentálně představuje největší motivaci k dalšímu rozvoji. Keramické nádoby a objekty chápu jako trojrozměrné plátno. Kruhovou formu objemu váz vnímám jako do sebe zacyklený nekonečný povrch“</w:t>
      </w:r>
      <w:r w:rsidRPr="001F7C6B">
        <w:rPr>
          <w:rFonts w:ascii="Umprum" w:hAnsi="Umprum" w:cstheme="minorHAnsi"/>
        </w:rPr>
        <w:t xml:space="preserve">, říká ke své práci </w:t>
      </w:r>
      <w:r w:rsidRPr="001F7C6B">
        <w:rPr>
          <w:rFonts w:ascii="Umprum" w:hAnsi="Umprum" w:cstheme="minorHAnsi"/>
        </w:rPr>
        <w:t xml:space="preserve">Milan Pekař. </w:t>
      </w:r>
    </w:p>
    <w:p w:rsidR="00E962A7" w:rsidRPr="001F7C6B" w:rsidRDefault="001F7C6B">
      <w:pPr>
        <w:rPr>
          <w:rFonts w:ascii="Umprum" w:hAnsi="Umprum" w:cstheme="minorHAnsi"/>
        </w:rPr>
      </w:pPr>
      <w:r w:rsidRPr="001F7C6B">
        <w:rPr>
          <w:rFonts w:ascii="Umprum" w:hAnsi="Umprum" w:cstheme="minorHAnsi"/>
        </w:rPr>
        <w:t xml:space="preserve">Charakteristická je pro něj především práce s krystalickými glazurami. Oživuje dlouho nepoužívané staré technologie a zároveň je obohacuje o výsledky vlastních experimentů s různými </w:t>
      </w:r>
      <w:r w:rsidRPr="001F7C6B">
        <w:rPr>
          <w:rFonts w:ascii="Umprum" w:hAnsi="Umprum" w:cstheme="minorHAnsi"/>
        </w:rPr>
        <w:t>oxidy</w:t>
      </w:r>
      <w:r w:rsidRPr="001F7C6B">
        <w:rPr>
          <w:rFonts w:ascii="Umprum" w:hAnsi="Umprum" w:cstheme="minorHAnsi"/>
        </w:rPr>
        <w:t xml:space="preserve"> kovů. </w:t>
      </w:r>
      <w:r w:rsidRPr="001F7C6B">
        <w:rPr>
          <w:rFonts w:ascii="Umprum" w:hAnsi="Umprum" w:cstheme="minorHAnsi"/>
          <w:i/>
        </w:rPr>
        <w:t>„Práce se základními chemickými prvky a jejich s</w:t>
      </w:r>
      <w:r w:rsidRPr="001F7C6B">
        <w:rPr>
          <w:rFonts w:ascii="Umprum" w:hAnsi="Umprum" w:cstheme="minorHAnsi"/>
          <w:i/>
        </w:rPr>
        <w:t xml:space="preserve">loučeninami spojená s účelným používáním teploty při výpalu přináší nečekané odstíny barev, různorodé struktury a někdy i zcela nové minerály. V rámci svých experimentů dochází </w:t>
      </w:r>
      <w:r w:rsidRPr="001F7C6B">
        <w:rPr>
          <w:rFonts w:ascii="Umprum" w:hAnsi="Umprum" w:cstheme="minorHAnsi"/>
          <w:i/>
        </w:rPr>
        <w:lastRenderedPageBreak/>
        <w:t>nejen k jedinečným barevným kombinacím a texturám založeným na spontánním dynam</w:t>
      </w:r>
      <w:r w:rsidRPr="001F7C6B">
        <w:rPr>
          <w:rFonts w:ascii="Umprum" w:hAnsi="Umprum" w:cstheme="minorHAnsi"/>
          <w:i/>
        </w:rPr>
        <w:t>ickém růstu krystalů, ale daří se mu také vytvářet vlastní unikátní směsi, jako například metalické krystalické glazury“</w:t>
      </w:r>
      <w:r w:rsidRPr="001F7C6B">
        <w:rPr>
          <w:rFonts w:ascii="Umprum" w:hAnsi="Umprum" w:cstheme="minorHAnsi"/>
        </w:rPr>
        <w:t>, popisuje jedinečnost práce Milana Pekaře kurátor výstavy Radek Wohlmuth.</w:t>
      </w:r>
    </w:p>
    <w:p w:rsidR="00E962A7" w:rsidRPr="001F7C6B" w:rsidRDefault="001F7C6B">
      <w:pPr>
        <w:rPr>
          <w:rFonts w:ascii="Umprum" w:hAnsi="Umprum" w:cstheme="minorHAnsi"/>
        </w:rPr>
      </w:pPr>
      <w:r w:rsidRPr="001F7C6B">
        <w:rPr>
          <w:rFonts w:ascii="Umprum" w:hAnsi="Umprum" w:cstheme="minorHAnsi"/>
        </w:rPr>
        <w:t>Výstava Po</w:t>
      </w:r>
      <w:r w:rsidRPr="001F7C6B">
        <w:rPr>
          <w:rFonts w:ascii="Umprum" w:hAnsi="Umprum" w:cstheme="minorHAnsi"/>
        </w:rPr>
        <w:t>povrchu je výsledkem Pekařovy doktorské práce. Kro</w:t>
      </w:r>
      <w:r w:rsidRPr="001F7C6B">
        <w:rPr>
          <w:rFonts w:ascii="Umprum" w:hAnsi="Umprum" w:cstheme="minorHAnsi"/>
        </w:rPr>
        <w:t>mě samotných artefaktů, zde představuje i experimentální technologickou část, například prostřednictvím snímků glazur pořízených elektronovým mikroskopem. Jeho pokusy s glazurami dokumentují stovky testovacích váziček, jejichž instalace volně odkazuje k „p</w:t>
      </w:r>
      <w:r w:rsidRPr="001F7C6B">
        <w:rPr>
          <w:rFonts w:ascii="Umprum" w:hAnsi="Umprum" w:cstheme="minorHAnsi"/>
        </w:rPr>
        <w:t xml:space="preserve">orcelánovým místnostem“ na šlechtických sídlech. Součástí prezentace jsou i série porcelánových váz s různými druhy krystalických glazur, nebo keramické objekty  - nábytek vycházející z archetypálních tvarů architektury a užitého umění. </w:t>
      </w:r>
    </w:p>
    <w:p w:rsidR="00E962A7" w:rsidRPr="001F7C6B" w:rsidRDefault="001F7C6B">
      <w:pPr>
        <w:rPr>
          <w:rFonts w:ascii="Umprum" w:hAnsi="Umprum" w:cstheme="minorHAnsi"/>
        </w:rPr>
      </w:pPr>
      <w:r w:rsidRPr="001F7C6B">
        <w:rPr>
          <w:rFonts w:ascii="Umprum" w:hAnsi="Umprum" w:cstheme="minorHAnsi"/>
        </w:rPr>
        <w:t>Výstavu je možné z</w:t>
      </w:r>
      <w:r w:rsidRPr="001F7C6B">
        <w:rPr>
          <w:rFonts w:ascii="Umprum" w:hAnsi="Umprum" w:cstheme="minorHAnsi"/>
        </w:rPr>
        <w:t xml:space="preserve">hlédnout v Galerii UM až do 10. října. </w:t>
      </w:r>
    </w:p>
    <w:p w:rsidR="00E962A7" w:rsidRPr="001F7C6B" w:rsidRDefault="00E962A7">
      <w:pPr>
        <w:rPr>
          <w:rFonts w:ascii="Umprum" w:hAnsi="Umprum" w:cstheme="minorHAnsi"/>
        </w:rPr>
      </w:pPr>
    </w:p>
    <w:p w:rsidR="00E962A7" w:rsidRPr="001F7C6B" w:rsidRDefault="00E962A7">
      <w:pPr>
        <w:rPr>
          <w:rFonts w:ascii="Umprum" w:hAnsi="Umprum" w:cstheme="minorHAnsi"/>
        </w:rPr>
      </w:pPr>
    </w:p>
    <w:p w:rsidR="00E962A7" w:rsidRPr="001F7C6B" w:rsidRDefault="001F7C6B">
      <w:pPr>
        <w:rPr>
          <w:rFonts w:ascii="Umprum" w:hAnsi="Umprum" w:cstheme="minorHAnsi"/>
        </w:rPr>
      </w:pPr>
      <w:r w:rsidRPr="001F7C6B">
        <w:rPr>
          <w:rFonts w:ascii="Umprum" w:hAnsi="Umprum" w:cstheme="minorHAnsi"/>
          <w:b/>
        </w:rPr>
        <w:t>Autor výstavy:</w:t>
      </w:r>
      <w:r w:rsidRPr="001F7C6B">
        <w:rPr>
          <w:rFonts w:ascii="Umprum" w:hAnsi="Umprum" w:cstheme="minorHAnsi"/>
        </w:rPr>
        <w:t xml:space="preserve"> Milan Pekař</w:t>
      </w:r>
      <w:r w:rsidRPr="001F7C6B">
        <w:rPr>
          <w:rFonts w:ascii="Umprum" w:hAnsi="Umprum" w:cstheme="minorHAnsi"/>
        </w:rPr>
        <w:br/>
      </w:r>
      <w:r w:rsidRPr="001F7C6B">
        <w:rPr>
          <w:rFonts w:ascii="Umprum" w:hAnsi="Umprum" w:cstheme="minorHAnsi"/>
          <w:b/>
        </w:rPr>
        <w:t>Kurátor výstavy:</w:t>
      </w:r>
      <w:r w:rsidRPr="001F7C6B">
        <w:rPr>
          <w:rFonts w:ascii="Umprum" w:hAnsi="Umprum" w:cstheme="minorHAnsi"/>
        </w:rPr>
        <w:t xml:space="preserve"> Radek Wohlmuth</w:t>
      </w:r>
      <w:r w:rsidRPr="001F7C6B">
        <w:rPr>
          <w:rFonts w:ascii="Umprum" w:hAnsi="Umprum" w:cstheme="minorHAnsi"/>
        </w:rPr>
        <w:br/>
      </w:r>
      <w:r w:rsidRPr="001F7C6B">
        <w:rPr>
          <w:rFonts w:ascii="Umprum" w:hAnsi="Umprum" w:cstheme="minorHAnsi"/>
          <w:b/>
        </w:rPr>
        <w:t xml:space="preserve">Instalace: </w:t>
      </w:r>
      <w:r w:rsidRPr="001F7C6B">
        <w:rPr>
          <w:rFonts w:ascii="Umprum" w:hAnsi="Umprum" w:cstheme="minorHAnsi"/>
        </w:rPr>
        <w:t>Klára Bužková</w:t>
      </w:r>
      <w:r w:rsidRPr="001F7C6B">
        <w:rPr>
          <w:rFonts w:ascii="Umprum" w:hAnsi="Umprum" w:cstheme="minorHAnsi"/>
        </w:rPr>
        <w:br/>
      </w:r>
      <w:r w:rsidRPr="001F7C6B">
        <w:rPr>
          <w:rFonts w:ascii="Umprum" w:hAnsi="Umprum" w:cstheme="minorHAnsi"/>
          <w:b/>
        </w:rPr>
        <w:t>Grafika:</w:t>
      </w:r>
      <w:r w:rsidRPr="001F7C6B">
        <w:rPr>
          <w:rFonts w:ascii="Umprum" w:hAnsi="Umprum" w:cstheme="minorHAnsi"/>
        </w:rPr>
        <w:t xml:space="preserve"> Adam Willant</w:t>
      </w:r>
      <w:r w:rsidRPr="001F7C6B">
        <w:rPr>
          <w:rFonts w:ascii="Umprum" w:hAnsi="Umprum" w:cstheme="minorHAnsi"/>
        </w:rPr>
        <w:br/>
      </w:r>
      <w:r w:rsidRPr="001F7C6B">
        <w:rPr>
          <w:rFonts w:ascii="Umprum" w:hAnsi="Umprum" w:cstheme="minorHAnsi"/>
          <w:b/>
        </w:rPr>
        <w:t xml:space="preserve">Fotografie: </w:t>
      </w:r>
      <w:r w:rsidRPr="001F7C6B">
        <w:rPr>
          <w:rFonts w:ascii="Umprum" w:hAnsi="Umprum" w:cstheme="minorHAnsi"/>
        </w:rPr>
        <w:t>Viktorie Macánová</w:t>
      </w:r>
      <w:r w:rsidRPr="001F7C6B">
        <w:rPr>
          <w:rFonts w:ascii="Umprum" w:hAnsi="Umprum" w:cstheme="minorHAnsi"/>
        </w:rPr>
        <w:br/>
      </w:r>
      <w:r w:rsidRPr="001F7C6B">
        <w:rPr>
          <w:rFonts w:ascii="Umprum" w:hAnsi="Umprum" w:cstheme="minorHAnsi"/>
          <w:b/>
        </w:rPr>
        <w:t>Spolupráce:</w:t>
      </w:r>
      <w:r w:rsidRPr="001F7C6B">
        <w:rPr>
          <w:rFonts w:ascii="Umprum" w:hAnsi="Umprum" w:cstheme="minorHAnsi"/>
        </w:rPr>
        <w:t xml:space="preserve"> Ústav geochemie, mineralogie a nerostných zdrojů Přírodovědecké fa</w:t>
      </w:r>
      <w:r w:rsidRPr="001F7C6B">
        <w:rPr>
          <w:rFonts w:ascii="Umprum" w:hAnsi="Umprum" w:cstheme="minorHAnsi"/>
        </w:rPr>
        <w:t>kulty Univerzity Karlovy</w:t>
      </w:r>
    </w:p>
    <w:p w:rsidR="00E962A7" w:rsidRDefault="00E962A7">
      <w:pPr>
        <w:spacing w:after="0" w:line="240" w:lineRule="auto"/>
        <w:rPr>
          <w:rFonts w:ascii="Umprum" w:eastAsia="Umprum" w:hAnsi="Umprum" w:cs="Umprum"/>
          <w:b/>
          <w:color w:val="000000"/>
          <w:sz w:val="21"/>
          <w:szCs w:val="21"/>
        </w:rPr>
      </w:pPr>
    </w:p>
    <w:p w:rsidR="00E962A7" w:rsidRDefault="00E962A7">
      <w:pPr>
        <w:spacing w:after="0" w:line="240" w:lineRule="auto"/>
        <w:rPr>
          <w:rFonts w:ascii="Umprum" w:eastAsia="Umprum" w:hAnsi="Umprum" w:cs="Umprum"/>
          <w:b/>
          <w:color w:val="000000"/>
          <w:sz w:val="21"/>
          <w:szCs w:val="21"/>
        </w:rPr>
      </w:pPr>
    </w:p>
    <w:p w:rsidR="00E962A7" w:rsidRDefault="00E962A7">
      <w:pPr>
        <w:spacing w:after="0" w:line="240" w:lineRule="auto"/>
        <w:rPr>
          <w:rFonts w:ascii="Umprum" w:eastAsia="Umprum" w:hAnsi="Umprum" w:cs="Umprum"/>
          <w:b/>
          <w:color w:val="000000"/>
          <w:sz w:val="21"/>
          <w:szCs w:val="21"/>
        </w:rPr>
      </w:pPr>
    </w:p>
    <w:p w:rsidR="00E962A7" w:rsidRDefault="00E962A7">
      <w:pPr>
        <w:spacing w:after="0" w:line="240" w:lineRule="auto"/>
        <w:rPr>
          <w:rFonts w:ascii="Umprum" w:eastAsia="Umprum" w:hAnsi="Umprum" w:cs="Umprum"/>
          <w:b/>
          <w:color w:val="000000"/>
          <w:sz w:val="21"/>
          <w:szCs w:val="21"/>
        </w:rPr>
      </w:pPr>
    </w:p>
    <w:p w:rsidR="00E962A7" w:rsidRDefault="00E962A7">
      <w:pPr>
        <w:spacing w:after="0" w:line="240" w:lineRule="auto"/>
        <w:rPr>
          <w:rFonts w:ascii="Umprum" w:eastAsia="Umprum" w:hAnsi="Umprum" w:cs="Umprum"/>
          <w:b/>
          <w:color w:val="000000"/>
          <w:sz w:val="21"/>
          <w:szCs w:val="21"/>
        </w:rPr>
      </w:pPr>
    </w:p>
    <w:p w:rsidR="00E962A7" w:rsidRDefault="00E962A7">
      <w:pPr>
        <w:spacing w:after="0" w:line="240" w:lineRule="auto"/>
        <w:rPr>
          <w:rFonts w:ascii="Umprum" w:eastAsia="Umprum" w:hAnsi="Umprum" w:cs="Umprum"/>
          <w:b/>
          <w:color w:val="000000"/>
          <w:sz w:val="21"/>
          <w:szCs w:val="21"/>
        </w:rPr>
      </w:pPr>
    </w:p>
    <w:p w:rsidR="00E962A7" w:rsidRDefault="00E962A7">
      <w:pPr>
        <w:spacing w:after="0" w:line="240" w:lineRule="auto"/>
        <w:rPr>
          <w:rFonts w:ascii="Umprum" w:eastAsia="Umprum" w:hAnsi="Umprum" w:cs="Umprum"/>
          <w:b/>
          <w:color w:val="000000"/>
          <w:sz w:val="21"/>
          <w:szCs w:val="21"/>
        </w:rPr>
      </w:pPr>
    </w:p>
    <w:p w:rsidR="00E962A7" w:rsidRDefault="001F7C6B">
      <w:pPr>
        <w:spacing w:after="0" w:line="240" w:lineRule="auto"/>
        <w:rPr>
          <w:rFonts w:ascii="Umprum" w:eastAsia="Umprum" w:hAnsi="Umprum" w:cs="Umprum"/>
          <w:color w:val="000000"/>
          <w:sz w:val="21"/>
          <w:szCs w:val="21"/>
        </w:rPr>
      </w:pPr>
      <w:r>
        <w:rPr>
          <w:rFonts w:ascii="Umprum" w:eastAsia="Umprum" w:hAnsi="Umprum" w:cs="Umprum"/>
          <w:b/>
          <w:color w:val="000000"/>
          <w:sz w:val="21"/>
          <w:szCs w:val="21"/>
        </w:rPr>
        <w:t>Další informace:</w:t>
      </w:r>
      <w:r>
        <w:rPr>
          <w:rFonts w:ascii="Umprum" w:eastAsia="Umprum" w:hAnsi="Umprum" w:cs="Umprum"/>
          <w:b/>
          <w:color w:val="000000"/>
          <w:sz w:val="21"/>
          <w:szCs w:val="21"/>
        </w:rPr>
        <w:br/>
      </w:r>
      <w:r>
        <w:rPr>
          <w:rFonts w:ascii="Umprum" w:eastAsia="Umprum" w:hAnsi="Umprum" w:cs="Umprum"/>
          <w:color w:val="000000"/>
          <w:sz w:val="21"/>
          <w:szCs w:val="21"/>
        </w:rPr>
        <w:t>Mgr. Kamila Stehlíková</w:t>
      </w:r>
      <w:r>
        <w:rPr>
          <w:rFonts w:ascii="Umprum" w:eastAsia="Umprum" w:hAnsi="Umprum" w:cs="Umprum"/>
          <w:color w:val="000000"/>
          <w:sz w:val="21"/>
          <w:szCs w:val="21"/>
        </w:rPr>
        <w:br/>
        <w:t>Vysoká škola uměleckoprůmyslová v Praze / náměstí Jana Palacha 80, 116 93 Praha 1</w:t>
      </w:r>
      <w:r>
        <w:rPr>
          <w:rFonts w:ascii="Umprum" w:eastAsia="Umprum" w:hAnsi="Umprum" w:cs="Umprum"/>
          <w:b/>
          <w:color w:val="000000"/>
          <w:sz w:val="21"/>
          <w:szCs w:val="21"/>
        </w:rPr>
        <w:br/>
      </w:r>
      <w:r>
        <w:rPr>
          <w:rFonts w:ascii="Umprum" w:eastAsia="Umprum" w:hAnsi="Umprum" w:cs="Umprum"/>
          <w:color w:val="000000"/>
          <w:sz w:val="21"/>
          <w:szCs w:val="21"/>
        </w:rPr>
        <w:t xml:space="preserve">tel: 251 098 201 / mobil: 739 304 060 / stehlikova@vsup.cz / </w:t>
      </w:r>
      <w:hyperlink r:id="rId7">
        <w:r>
          <w:rPr>
            <w:rFonts w:ascii="Umprum" w:eastAsia="Umprum" w:hAnsi="Umprum" w:cs="Umprum"/>
            <w:color w:val="0000FF"/>
            <w:sz w:val="21"/>
            <w:szCs w:val="21"/>
            <w:u w:val="single"/>
          </w:rPr>
          <w:t>www.umprum.cz</w:t>
        </w:r>
      </w:hyperlink>
    </w:p>
    <w:sectPr w:rsidR="00E962A7">
      <w:footerReference w:type="default" r:id="rId8"/>
      <w:pgSz w:w="11906" w:h="16838"/>
      <w:pgMar w:top="993" w:right="991" w:bottom="851" w:left="1134" w:header="0" w:footer="148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F7C6B">
      <w:pPr>
        <w:spacing w:after="0" w:line="240" w:lineRule="auto"/>
      </w:pPr>
      <w:r>
        <w:separator/>
      </w:r>
    </w:p>
  </w:endnote>
  <w:endnote w:type="continuationSeparator" w:id="0">
    <w:p w:rsidR="00000000" w:rsidRDefault="001F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eueHaasGroteskDisp Pro">
    <w:altName w:val="Times New Roman"/>
    <w:charset w:val="EE"/>
    <w:family w:val="roman"/>
    <w:pitch w:val="variable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2A7" w:rsidRDefault="001F7C6B">
    <w:pP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/2</w:t>
    </w:r>
  </w:p>
  <w:p w:rsidR="00E962A7" w:rsidRDefault="00E962A7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F7C6B">
      <w:pPr>
        <w:spacing w:after="0" w:line="240" w:lineRule="auto"/>
      </w:pPr>
      <w:r>
        <w:separator/>
      </w:r>
    </w:p>
  </w:footnote>
  <w:footnote w:type="continuationSeparator" w:id="0">
    <w:p w:rsidR="00000000" w:rsidRDefault="001F7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A7"/>
    <w:rsid w:val="001F7C6B"/>
    <w:rsid w:val="00E9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C842"/>
  <w15:docId w15:val="{28436935-D0C2-4C72-B05B-B56D97BD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1">
    <w:name w:val="heading 1"/>
    <w:basedOn w:val="Normln"/>
    <w:next w:val="Normln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dpis3">
    <w:name w:val="heading 3"/>
    <w:basedOn w:val="Normln"/>
    <w:next w:val="Normln"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Nadpis4">
    <w:name w:val="heading 4"/>
    <w:basedOn w:val="Normln"/>
    <w:next w:val="Normln"/>
    <w:qFormat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Nadpis5">
    <w:name w:val="heading 5"/>
    <w:basedOn w:val="Normln"/>
    <w:next w:val="Normln"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D0BE3"/>
  </w:style>
  <w:style w:type="character" w:customStyle="1" w:styleId="ZpatChar">
    <w:name w:val="Zápatí Char"/>
    <w:basedOn w:val="Standardnpsmoodstavce"/>
    <w:link w:val="Zpat"/>
    <w:uiPriority w:val="99"/>
    <w:qFormat/>
    <w:rsid w:val="000D0BE3"/>
  </w:style>
  <w:style w:type="character" w:customStyle="1" w:styleId="tlid-translation">
    <w:name w:val="tlid-translation"/>
    <w:basedOn w:val="Standardnpsmoodstavce"/>
    <w:qFormat/>
    <w:rsid w:val="00273FB4"/>
  </w:style>
  <w:style w:type="character" w:styleId="Hypertextovodkaz">
    <w:name w:val="Hyperlink"/>
    <w:rPr>
      <w:color w:val="000080"/>
      <w:u w:val="singl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next w:val="Normln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D0BE3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D0BE3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uiPriority w:val="99"/>
    <w:unhideWhenUsed/>
    <w:qFormat/>
    <w:rsid w:val="00273FB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127FC0"/>
    <w:rPr>
      <w:rFonts w:ascii="NeueHaasGroteskDisp Pro" w:eastAsiaTheme="minorHAnsi" w:hAnsi="NeueHaasGroteskDisp Pro" w:cs="NeueHaasGroteskDisp Pro"/>
      <w:color w:val="000000"/>
      <w:sz w:val="24"/>
      <w:szCs w:val="24"/>
      <w:lang w:eastAsia="en-US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umprum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2553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VŠUP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Stehlíková</dc:creator>
  <dc:description/>
  <cp:lastModifiedBy>Kamila Stehlíková</cp:lastModifiedBy>
  <cp:revision>2</cp:revision>
  <dcterms:created xsi:type="dcterms:W3CDTF">2020-08-27T10:51:00Z</dcterms:created>
  <dcterms:modified xsi:type="dcterms:W3CDTF">2020-08-27T10:51:00Z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VŠUP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